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jc w:val="center"/>
        <w:rPr>
          <w:rFonts w:ascii="Arial" w:cs="Arial" w:eastAsia="Arial" w:hAnsi="Arial"/>
          <w:color w:val="1a5c87"/>
        </w:rPr>
      </w:pPr>
      <w:r w:rsidDel="00000000" w:rsidR="00000000" w:rsidRPr="00000000">
        <w:rPr>
          <w:rFonts w:ascii="Arial" w:cs="Arial" w:eastAsia="Arial" w:hAnsi="Arial"/>
          <w:color w:val="1a5c87"/>
          <w:rtl w:val="0"/>
        </w:rPr>
        <w:t xml:space="preserve">UCHWAŁA BUDŻETOWA NA ROK 2026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Rule="auto"/>
        <w:jc w:val="center"/>
        <w:rPr>
          <w:rFonts w:ascii="Arial" w:cs="Arial" w:eastAsia="Arial" w:hAnsi="Arial"/>
          <w:color w:val="1a5c87"/>
        </w:rPr>
      </w:pPr>
      <w:r w:rsidDel="00000000" w:rsidR="00000000" w:rsidRPr="00000000">
        <w:rPr>
          <w:rFonts w:ascii="Arial" w:cs="Arial" w:eastAsia="Arial" w:hAnsi="Arial"/>
          <w:color w:val="1a5c87"/>
          <w:rtl w:val="0"/>
        </w:rPr>
        <w:t xml:space="preserve">GMINY ZIELONA DOLINA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line="30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Nr XV/110/2025 z dnia 18 grudnia 2025 r.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Na podstawie art. 18 ust. 2 pkt 4, pkt 9 lit. d ustawy z dnia 8 marca 1990 r. o samorządzie gminnym (Dz. U. z 2025 r. poz. 2300) oraz art. 211, art. 212, art. 214, art. 215, art. 217, art. 235, art. 237 ustawy z dnia 27 sierpnia 2009 r. o finansach publicznych (Dz. U. z 2025 r. poz. 1570), Rada Gminy Zielona Dolina uchwala, co następuje:</w:t>
      </w:r>
    </w:p>
    <w:p w:rsidR="00000000" w:rsidDel="00000000" w:rsidP="00000000" w:rsidRDefault="00000000" w:rsidRPr="00000000" w14:paraId="00000005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>
          <w:rFonts w:ascii="Arial" w:cs="Arial" w:eastAsia="Arial" w:hAnsi="Arial"/>
          <w:color w:val="2c3e50"/>
        </w:rPr>
      </w:pPr>
      <w:r w:rsidDel="00000000" w:rsidR="00000000" w:rsidRPr="00000000">
        <w:rPr>
          <w:rFonts w:ascii="Arial" w:cs="Arial" w:eastAsia="Arial" w:hAnsi="Arial"/>
          <w:color w:val="2c3e50"/>
          <w:rtl w:val="0"/>
        </w:rPr>
        <w:t xml:space="preserve">§ 1. DOCHODY BUDŻETU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Ustala się dochody budżetu na rok 2026 w łącznej kwocie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45 000 000,00 zł</w:t>
      </w:r>
      <w:r w:rsidDel="00000000" w:rsidR="00000000" w:rsidRPr="00000000">
        <w:rPr>
          <w:rFonts w:ascii="Arial" w:cs="Arial" w:eastAsia="Arial" w:hAnsi="Arial"/>
          <w:rtl w:val="0"/>
        </w:rPr>
        <w:t xml:space="preserve">, z tego: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Dochody bieżące: 41 200 000,00 zł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Dochody majątkowe: 3 800 000,00 zł</w:t>
      </w:r>
    </w:p>
    <w:tbl>
      <w:tblPr>
        <w:tblStyle w:val="Table1"/>
        <w:tblW w:w="9360.0" w:type="dxa"/>
        <w:jc w:val="left"/>
        <w:tblBorders>
          <w:top w:color="dddddd" w:space="0" w:sz="6" w:val="single"/>
          <w:left w:color="dddddd" w:space="0" w:sz="6" w:val="single"/>
          <w:bottom w:color="dddddd" w:space="0" w:sz="6" w:val="single"/>
          <w:right w:color="dddddd" w:space="0" w:sz="6" w:val="single"/>
          <w:insideH w:color="dddddd" w:space="0" w:sz="6" w:val="single"/>
          <w:insideV w:color="dddddd" w:space="0" w:sz="6" w:val="single"/>
        </w:tblBorders>
        <w:tblLayout w:type="fixed"/>
        <w:tblLook w:val="06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1a5c87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b w:val="1"/>
                <w:bCs w:val="1"/>
                <w:color w:val="ffffff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hd w:fill="auto" w:val="clear"/>
                <w:rtl w:val="0"/>
              </w:rPr>
              <w:t xml:space="preserve">Dział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1a5c87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b w:val="1"/>
                <w:bCs w:val="1"/>
                <w:color w:val="ffffff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hd w:fill="auto" w:val="clear"/>
                <w:rtl w:val="0"/>
              </w:rPr>
              <w:t xml:space="preserve">Źródło dochodów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1a5c87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jc w:val="right"/>
              <w:rPr>
                <w:rFonts w:ascii="Arial" w:cs="Arial" w:eastAsia="Arial" w:hAnsi="Arial"/>
                <w:b w:val="1"/>
                <w:bCs w:val="1"/>
                <w:color w:val="ffffff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hd w:fill="auto" w:val="clear"/>
                <w:rtl w:val="0"/>
              </w:rPr>
              <w:t xml:space="preserve">Plan na rok 2026 (PLN)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756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Dochody od osób prawnych, od osób fizycznych i od innych jednostek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18 500 000,00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758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Różne rozliczenia (subwencja ogólna z budżetu państwa)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16 200 000,00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852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Pomoc społeczna (dotacje celowe)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4 300 000,00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—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Pozostałe działy dochodów ogółem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6 000 000,00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eaeff2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DOCHODY OGÓŁEM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eaeff2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jc w:val="right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45 000 000,00</w:t>
            </w:r>
          </w:p>
        </w:tc>
      </w:tr>
    </w:tbl>
    <w:p w:rsidR="00000000" w:rsidDel="00000000" w:rsidP="00000000" w:rsidRDefault="00000000" w:rsidRPr="00000000" w14:paraId="0000001C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300" w:lineRule="auto"/>
        <w:rPr>
          <w:rFonts w:ascii="Arial" w:cs="Arial" w:eastAsia="Arial" w:hAnsi="Arial"/>
          <w:color w:val="2c3e50"/>
        </w:rPr>
      </w:pPr>
      <w:r w:rsidDel="00000000" w:rsidR="00000000" w:rsidRPr="00000000">
        <w:rPr>
          <w:rFonts w:ascii="Arial" w:cs="Arial" w:eastAsia="Arial" w:hAnsi="Arial"/>
          <w:color w:val="2c3e50"/>
          <w:rtl w:val="0"/>
        </w:rPr>
        <w:t xml:space="preserve">§ 2. WYDATKI BUDŻETU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Ustala się wydatki budżetu na rok 2026 w łącznej kwocie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47 500 000,00 zł</w:t>
      </w:r>
      <w:r w:rsidDel="00000000" w:rsidR="00000000" w:rsidRPr="00000000">
        <w:rPr>
          <w:rFonts w:ascii="Arial" w:cs="Arial" w:eastAsia="Arial" w:hAnsi="Arial"/>
          <w:rtl w:val="0"/>
        </w:rPr>
        <w:t xml:space="preserve">, z tego: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Wydatki bieżące: 39 800 000,00 zł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Wydatki majątkowe (inwestycyjne): 7 700 000,00 zł</w:t>
      </w:r>
    </w:p>
    <w:tbl>
      <w:tblPr>
        <w:tblStyle w:val="Table2"/>
        <w:tblW w:w="9360.0" w:type="dxa"/>
        <w:jc w:val="left"/>
        <w:tblBorders>
          <w:top w:color="dddddd" w:space="0" w:sz="6" w:val="single"/>
          <w:left w:color="dddddd" w:space="0" w:sz="6" w:val="single"/>
          <w:bottom w:color="dddddd" w:space="0" w:sz="6" w:val="single"/>
          <w:right w:color="dddddd" w:space="0" w:sz="6" w:val="single"/>
          <w:insideH w:color="dddddd" w:space="0" w:sz="6" w:val="single"/>
          <w:insideV w:color="dddddd" w:space="0" w:sz="6" w:val="single"/>
        </w:tblBorders>
        <w:tblLayout w:type="fixed"/>
        <w:tblLook w:val="06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1a5c87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b w:val="1"/>
                <w:bCs w:val="1"/>
                <w:color w:val="ffffff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hd w:fill="auto" w:val="clear"/>
                <w:rtl w:val="0"/>
              </w:rPr>
              <w:t xml:space="preserve">Dział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1a5c87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b w:val="1"/>
                <w:bCs w:val="1"/>
                <w:color w:val="ffffff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hd w:fill="auto" w:val="clear"/>
                <w:rtl w:val="0"/>
              </w:rPr>
              <w:t xml:space="preserve">Przeznaczenie wydatków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1a5c87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jc w:val="right"/>
              <w:rPr>
                <w:rFonts w:ascii="Arial" w:cs="Arial" w:eastAsia="Arial" w:hAnsi="Arial"/>
                <w:b w:val="1"/>
                <w:bCs w:val="1"/>
                <w:color w:val="ffffff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hd w:fill="auto" w:val="clear"/>
                <w:rtl w:val="0"/>
              </w:rPr>
              <w:t xml:space="preserve">Plan na rok 2026 (PLN)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600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Transport i łączność (gospodarka drogowa)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5 400 000,00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750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Administracja publiczna (utrzymanie urzędu)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4 200 000,00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801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Oświata i wychowanie (szkoły i przedszkola)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22 100 000,00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900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Gospodarka komunalna i ochrona środowiska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6 800 000,00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—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Pozostałe działy wydatków ogółem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9 000 000,00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eaeff2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WYDATKI OGÓŁEM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eaeff2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jc w:val="right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47 500 000,00</w:t>
            </w:r>
          </w:p>
        </w:tc>
      </w:tr>
    </w:tbl>
    <w:p w:rsidR="00000000" w:rsidDel="00000000" w:rsidP="00000000" w:rsidRDefault="00000000" w:rsidRPr="00000000" w14:paraId="00000036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300" w:lineRule="auto"/>
        <w:rPr>
          <w:rFonts w:ascii="Arial" w:cs="Arial" w:eastAsia="Arial" w:hAnsi="Arial"/>
          <w:color w:val="2c3e50"/>
        </w:rPr>
      </w:pPr>
      <w:r w:rsidDel="00000000" w:rsidR="00000000" w:rsidRPr="00000000">
        <w:rPr>
          <w:rFonts w:ascii="Arial" w:cs="Arial" w:eastAsia="Arial" w:hAnsi="Arial"/>
          <w:color w:val="2c3e50"/>
          <w:rtl w:val="0"/>
        </w:rPr>
        <w:t xml:space="preserve">§ 3. DEFICYT I ŹRÓDŁA POKRYCIA</w:t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1. Różnica między dochodami a wydatkami stanowi deficyt budżetu gminy w kwocie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2 500 000,00 zł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2. Deficyt budżetu zostanie pokryty przychodami pochodzącymi z:</w:t>
      </w:r>
    </w:p>
    <w:p w:rsidR="00000000" w:rsidDel="00000000" w:rsidP="00000000" w:rsidRDefault="00000000" w:rsidRPr="00000000" w14:paraId="00000039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Wolnych środków jako nadwyżki środków pieniężnych na rachunku bieżącym budżetu gminy wynikających z rozliczeń kredytów i pożyczek z lat ubiegłych — w kwocie 1 800 000,00 zł;</w:t>
      </w:r>
    </w:p>
    <w:p w:rsidR="00000000" w:rsidDel="00000000" w:rsidP="00000000" w:rsidRDefault="00000000" w:rsidRPr="00000000" w14:paraId="0000003A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Nadwyżki budżetowej z lat ubiegłych — w kwocie 700 000,00 zł.</w:t>
      </w:r>
    </w:p>
    <w:p w:rsidR="00000000" w:rsidDel="00000000" w:rsidP="00000000" w:rsidRDefault="00000000" w:rsidRPr="00000000" w14:paraId="0000003B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300" w:lineRule="auto"/>
        <w:rPr>
          <w:rFonts w:ascii="Arial" w:cs="Arial" w:eastAsia="Arial" w:hAnsi="Arial"/>
          <w:color w:val="2c3e50"/>
        </w:rPr>
      </w:pPr>
      <w:r w:rsidDel="00000000" w:rsidR="00000000" w:rsidRPr="00000000">
        <w:rPr>
          <w:rFonts w:ascii="Arial" w:cs="Arial" w:eastAsia="Arial" w:hAnsi="Arial"/>
          <w:color w:val="2c3e50"/>
          <w:rtl w:val="0"/>
        </w:rPr>
        <w:t xml:space="preserve">§ 4. REZERWY BUDŻETOWE</w:t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W budżecie tworzy się rezerwy w łącznej kwocie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450 000,00 zł</w:t>
      </w:r>
      <w:r w:rsidDel="00000000" w:rsidR="00000000" w:rsidRPr="00000000">
        <w:rPr>
          <w:rFonts w:ascii="Arial" w:cs="Arial" w:eastAsia="Arial" w:hAnsi="Arial"/>
          <w:rtl w:val="0"/>
        </w:rPr>
        <w:t xml:space="preserve">, w tym:</w:t>
      </w:r>
    </w:p>
    <w:p w:rsidR="00000000" w:rsidDel="00000000" w:rsidP="00000000" w:rsidRDefault="00000000" w:rsidRPr="00000000" w14:paraId="0000003D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Rezerwę ogólną w kwocie — 150 000,00 zł;</w:t>
      </w:r>
    </w:p>
    <w:p w:rsidR="00000000" w:rsidDel="00000000" w:rsidP="00000000" w:rsidRDefault="00000000" w:rsidRPr="00000000" w14:paraId="0000003E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Rezerwę celową na realizację zadań z zakresu zarządzania kryzysowego w kwocie — 300 000,00 zł.</w:t>
      </w:r>
    </w:p>
    <w:p w:rsidR="00000000" w:rsidDel="00000000" w:rsidP="00000000" w:rsidRDefault="00000000" w:rsidRPr="00000000" w14:paraId="0000003F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300" w:lineRule="auto"/>
        <w:rPr>
          <w:rFonts w:ascii="Arial" w:cs="Arial" w:eastAsia="Arial" w:hAnsi="Arial"/>
          <w:color w:val="2c3e50"/>
        </w:rPr>
      </w:pPr>
      <w:r w:rsidDel="00000000" w:rsidR="00000000" w:rsidRPr="00000000">
        <w:rPr>
          <w:rFonts w:ascii="Arial" w:cs="Arial" w:eastAsia="Arial" w:hAnsi="Arial"/>
          <w:color w:val="2c3e50"/>
          <w:rtl w:val="0"/>
        </w:rPr>
        <w:t xml:space="preserve">§ 5. WYKONANIE I WEJŚCIE W ŻYCIE</w:t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1. Wykonanie uchwały powierza się Wójtowi Gminy Zielona Dolina.</w:t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2. Uchwała wchodzi w życie z dniem 1 stycznia 2026 r. i podlega publikacji w Dzienniku Urzędowym Województwa.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3">
    <w:lvl w:ilvl="0">
      <w:start w:val="1"/>
      <w:numFmt w:val="decimal"/>
      <w:lvlText w:val="%1.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4">
    <w:lvl w:ilvl="0">
      <w:start w:val="1"/>
      <w:numFmt w:val="decimal"/>
      <w:lvlText w:val="%1.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