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SPRAWOZDANIE ROCZNE Z WYKONANIA BUDŻETU GMINY ZIELONA DOLINA ZA ROK 2024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50" w:line="30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wraz z informacją o stanie mienia komunalnego Gminy Zielona Dolina na dzień 31 grudnia 2024 r.</w:t>
      </w:r>
    </w:p>
    <w:p w:rsidR="00000000" w:rsidDel="00000000" w:rsidP="00000000" w:rsidRDefault="00000000" w:rsidRPr="00000000" w14:paraId="00000003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I. Wprowadzenie i Ogólne Podsumowanie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Sprawozdanie roczne z wykonania budżetu Gminy Zielona Dolina za rok 2024 zostało sporządzone zgodnie z wymogami art. 267 ustawy z dnia 27 sierpnia 2009 r. o finansach publicznych. Dokument przedstawia ostateczne zestawienie dochodów i wydatków budżetowych, a także zrealizowany wynik finansowy na koniec roku budżetowego 2024.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Rok budżetowy 2024 zamknął się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nadwyżką budżetową</w:t>
      </w:r>
      <w:r w:rsidDel="00000000" w:rsidR="00000000" w:rsidRPr="00000000">
        <w:rPr>
          <w:rFonts w:ascii="Arial" w:cs="Arial" w:eastAsia="Arial" w:hAnsi="Arial"/>
          <w:rtl w:val="0"/>
        </w:rPr>
        <w:t xml:space="preserve"> w wysokości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500 000,00 zł</w:t>
      </w:r>
      <w:r w:rsidDel="00000000" w:rsidR="00000000" w:rsidRPr="00000000">
        <w:rPr>
          <w:rFonts w:ascii="Arial" w:cs="Arial" w:eastAsia="Arial" w:hAnsi="Arial"/>
          <w:rtl w:val="0"/>
        </w:rPr>
        <w:t xml:space="preserve">. Wynik ten jest efektem stabilnej realizacji planu dochodów własnych oraz optymalizacji bieżących kosztów funkcjonowania jednostek organizacyjnych gminy.</w:t>
      </w:r>
    </w:p>
    <w:p w:rsidR="00000000" w:rsidDel="00000000" w:rsidP="00000000" w:rsidRDefault="00000000" w:rsidRPr="00000000" w14:paraId="00000006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II. Realizacja Dochodów Budżetowych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Plan dochodów budżetowych po zmianach na rok 2024 zakładał uzyskanie łącznej kwoty 39 000 000,00 zł. Realizacja kasowa dochodów wyniosła ostatecznie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39 650 000,00 zł</w:t>
      </w:r>
      <w:r w:rsidDel="00000000" w:rsidR="00000000" w:rsidRPr="00000000">
        <w:rPr>
          <w:rFonts w:ascii="Arial" w:cs="Arial" w:eastAsia="Arial" w:hAnsi="Arial"/>
          <w:rtl w:val="0"/>
        </w:rPr>
        <w:t xml:space="preserve">, co stanowi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101,67%</w:t>
      </w:r>
      <w:r w:rsidDel="00000000" w:rsidR="00000000" w:rsidRPr="00000000">
        <w:rPr>
          <w:rFonts w:ascii="Arial" w:cs="Arial" w:eastAsia="Arial" w:hAnsi="Arial"/>
          <w:rtl w:val="0"/>
        </w:rPr>
        <w:t xml:space="preserve"> założonego planu rocznego.</w:t>
      </w:r>
    </w:p>
    <w:tbl>
      <w:tblPr>
        <w:tblStyle w:val="Table1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1872"/>
        <w:gridCol w:w="1872"/>
        <w:gridCol w:w="1872"/>
        <w:gridCol w:w="1872"/>
        <w:gridCol w:w="1872"/>
        <w:tblGridChange w:id="0">
          <w:tblGrid>
            <w:gridCol w:w="1872"/>
            <w:gridCol w:w="1872"/>
            <w:gridCol w:w="1872"/>
            <w:gridCol w:w="1872"/>
            <w:gridCol w:w="1872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1a5c87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  <w:rtl w:val="0"/>
              </w:rPr>
              <w:t xml:space="preserve">Dział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1a5c87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  <w:rtl w:val="0"/>
              </w:rPr>
              <w:t xml:space="preserve">Źródło dochodu (Klasyfikacja budżetowa)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1a5c87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  <w:rtl w:val="0"/>
              </w:rPr>
              <w:t xml:space="preserve">Plan po zmianach (PLN)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1a5c87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  <w:rtl w:val="0"/>
              </w:rPr>
              <w:t xml:space="preserve">Wykonanie (PLN)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1a5c87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  <w:rtl w:val="0"/>
              </w:rPr>
              <w:t xml:space="preserve">% realizacji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756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Dochody od osób prawnych, fizycznych i udziały w PIT/CIT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16 000 000,00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16 450 000,00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102,81%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758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Różne rozliczenia (subwencja ogólna z budżetu państwa)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14 800 000,00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14 800 000,00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100,00%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852/855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Pomoc społeczna oraz świadczenia rodzinne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3 900 000,00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3 920 000,00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100,51%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—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Pozostałe dochody budżetowe ogółem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4 300 000,00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4 480 000,00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104,19%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aef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DOCHODY OGÓŁEM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aef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39 000 000,00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aef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39 650 000,00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aef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101,67%</w:t>
            </w:r>
          </w:p>
        </w:tc>
      </w:tr>
    </w:tbl>
    <w:p w:rsidR="00000000" w:rsidDel="00000000" w:rsidP="00000000" w:rsidRDefault="00000000" w:rsidRPr="00000000" w14:paraId="00000027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75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III. Realizacja Wydatków Budżetowych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Plan wydatków budżetowych po zmianach na rok 2024 opiewał na kwotę 39 500 000,00 zł. Łączne wykonanie kasowe wydatków zamknęło się w kwocie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39 150 000,00 zł</w:t>
      </w:r>
      <w:r w:rsidDel="00000000" w:rsidR="00000000" w:rsidRPr="00000000">
        <w:rPr>
          <w:rFonts w:ascii="Arial" w:cs="Arial" w:eastAsia="Arial" w:hAnsi="Arial"/>
          <w:rtl w:val="0"/>
        </w:rPr>
        <w:t xml:space="preserve">, co stanowi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99,11%</w:t>
      </w:r>
      <w:r w:rsidDel="00000000" w:rsidR="00000000" w:rsidRPr="00000000">
        <w:rPr>
          <w:rFonts w:ascii="Arial" w:cs="Arial" w:eastAsia="Arial" w:hAnsi="Arial"/>
          <w:rtl w:val="0"/>
        </w:rPr>
        <w:t xml:space="preserve"> dopuszczalnego limitu.</w:t>
      </w:r>
    </w:p>
    <w:tbl>
      <w:tblPr>
        <w:tblStyle w:val="Table2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1872"/>
        <w:gridCol w:w="1872"/>
        <w:gridCol w:w="1872"/>
        <w:gridCol w:w="1872"/>
        <w:gridCol w:w="1872"/>
        <w:tblGridChange w:id="0">
          <w:tblGrid>
            <w:gridCol w:w="1872"/>
            <w:gridCol w:w="1872"/>
            <w:gridCol w:w="1872"/>
            <w:gridCol w:w="1872"/>
            <w:gridCol w:w="1872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1a5c87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  <w:rtl w:val="0"/>
              </w:rPr>
              <w:t xml:space="preserve">Dział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1a5c87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  <w:rtl w:val="0"/>
              </w:rPr>
              <w:t xml:space="preserve">Główne działy przeznaczenia wydatków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1a5c87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  <w:rtl w:val="0"/>
              </w:rPr>
              <w:t xml:space="preserve">Plan po zmianach (PLN)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1a5c87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  <w:rtl w:val="0"/>
              </w:rPr>
              <w:t xml:space="preserve">Wykonanie (PLN)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1a5c87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  <w:rtl w:val="0"/>
              </w:rPr>
              <w:t xml:space="preserve">% realizacji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Transport i łączność (modernizacja i utrzymanie dróg)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4 100 000,00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3 980 000,00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97,07%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750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Administracja publiczna (utrzymanie i funkcjonowanie urzędu)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3 800 000,00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3 780 000,00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99,47%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801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Oświata i wychowanie (finansowanie szkół i przedszkoli)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20 300 000,00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20 280 000,00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99,90%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900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Gospodarka komunalna i ochrona środowiska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5 200 000,00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5 010 000,00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96,35%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—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Pozostałe działy wydatków budżetowych ogółem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6 100 000,00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6 100 000,00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100,00%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aef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WYDATKI OGÓŁEM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aef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39 500 000,00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aef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39 150 000,00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aef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99,11%</w:t>
            </w:r>
          </w:p>
        </w:tc>
      </w:tr>
    </w:tbl>
    <w:p w:rsidR="00000000" w:rsidDel="00000000" w:rsidP="00000000" w:rsidRDefault="00000000" w:rsidRPr="00000000" w14:paraId="0000004D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75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IV. Stan Mienia Komunalnego</w:t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Wartość mienia komunalnego Gminy Zielona Dolina według stanu ewidencyjnego na dzień 31 grudnia 2024 r. zamknęła się kwotą ogólną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52 130 000,00 zł</w:t>
      </w:r>
      <w:r w:rsidDel="00000000" w:rsidR="00000000" w:rsidRPr="00000000">
        <w:rPr>
          <w:rFonts w:ascii="Arial" w:cs="Arial" w:eastAsia="Arial" w:hAnsi="Arial"/>
          <w:rtl w:val="0"/>
        </w:rPr>
        <w:t xml:space="preserve">. Składniki majątku obejmują przede wszystkim grunty, obiekty oświatowe oraz sieć drogową i wodno-kanalizacyjną na terenie gminy.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Sporządził:</w:t>
      </w:r>
      <w:r w:rsidDel="00000000" w:rsidR="00000000" w:rsidRPr="00000000">
        <w:rPr>
          <w:rFonts w:ascii="Arial" w:cs="Arial" w:eastAsia="Arial" w:hAnsi="Arial"/>
          <w:rtl w:val="0"/>
        </w:rPr>
        <w:t xml:space="preserve"> mgr Elżbieta Mazur — Skarbnik Gminy</w:t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Zatwierdził:</w:t>
      </w:r>
      <w:r w:rsidDel="00000000" w:rsidR="00000000" w:rsidRPr="00000000">
        <w:rPr>
          <w:rFonts w:ascii="Arial" w:cs="Arial" w:eastAsia="Arial" w:hAnsi="Arial"/>
          <w:rtl w:val="0"/>
        </w:rPr>
        <w:t xml:space="preserve"> mgr Jan Kowalski — Wójt Gminy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