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NR XIII/98/2025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RADY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15 października 2025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zmian w Wieloletniej Prognozie Finansowej Gminy Zielona Dolina na lata 2025–2032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18 ust. 2 pkt 15 ustawy z dnia 8 marca 1990 r. o samorządzie gminnym (Dz. U. z 2025 r. poz. 2300) oraz art. 226, art. 227, art. 229 i art. 231 ust. 1 ustawy z dnia 27 sierpnia 2009 r. o finansach publicznych (Dz. U. z 2025 r. poz. 1570), Rada Gminy Zielona Dolina uchwala, co następuję: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1. Wprowadza się zmiany w Wieloletniej Prognozie Finansowej Gminy Zielona Dolina na lata 2025–2032, przyjętej Uchwałą Nr VII/50/2024 Rady Gminy Zielona Dolina z dnia 19 grudnia 2024 r. z późn. zm.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Aktualna prognoza dochodów, wydatków oraz kwoty długu po uwzględnieniu zmian otrzymuje brzmienie zgodnie z załącznikiem nr 1 do niniejszej uchwały.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W wykazie wieloletnich przedsięwzięć Gminy Zielona Dolina (załącznik nr 2 do uchwały WPF) wprowadza się następujące modyfikacje w limitach wydatków na zadania inwestycyjne: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Nazwa przedsięwzięcia / Zadania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Okres realizacji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Dotychczasowy limit 2025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1a5c87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jc w:val="right"/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hd w:fill="auto" w:val="clear"/>
                <w:rtl w:val="0"/>
              </w:rPr>
              <w:t xml:space="preserve">Nowy limit po zmianie (PLN)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Budowa sieci kanalizacji sanitarnej w miejscowości Zielona Dolina — Etap II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2024–2026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1 200 000,00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1 450 000,00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Termomodernizacja budynku Szkoły Podstawowej wraz z instalacją OZE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2025–2027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800 000,00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jc w:val="right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950 000,00</w:t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Zmiany wynikające z niniejszej uchwały wpływają na zachowanie relacji, o której mowa w art. 242 i art. 243 ustawy o finansach publicznych.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4.</w:t>
      </w:r>
      <w:r w:rsidDel="00000000" w:rsidR="00000000" w:rsidRPr="00000000">
        <w:rPr>
          <w:rFonts w:ascii="Arial" w:cs="Arial" w:eastAsia="Arial" w:hAnsi="Arial"/>
          <w:rtl w:val="0"/>
        </w:rPr>
        <w:t xml:space="preserve"> Wykonanie uchwały powierza się Wójtowi Gminy Zielona Dolina.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5.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Uchwała wchodzi w życie z dniem podjęcia i podlega opublikowaniu na tablicy ogłoszeń urzędu oraz w Biuletynie Informacji Publicznej.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