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REGIONALNA IZBA OBRACHUNKOWA W RZESZOWIE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UCHWAŁA NR SO-I/401/12/2026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Składu Orzekającego Regionalnej Izby Obrachunkowej w Rzeszowie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22 kwietnia 2026 r.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opinii o przedłożonym przez Wójta Gminy Zielona Dolina sprawozdaniu z wykonania budżetu za rok 2025 wraz z informacją o stanie mienia komunalnego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Skład Orzekający Regionalnej Izby Obrachunkowej w Rzeszowie w osobach: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Przewodniczący: dr hab. Andrzej Maciejewski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Członek: mgr Krystyna Rynkar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Członek: mgr Janusz Pasterz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działając na podstawie art. 13 pkt 5, art. 19 ust. 2 ustawy z dnia 7 października 1992 r. o regionalnych izbach obrachunkowych (Dz. U. z 2025 r. poz. 900) po rozpatrzeniu przedłożonego przez Wójta Gminy Zielona Dolina sprawozdania rocznego z wykonania budżetu za rok 2025,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postanawia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zaopiniować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pozytywnie</w:t>
      </w:r>
      <w:r w:rsidDel="00000000" w:rsidR="00000000" w:rsidRPr="00000000">
        <w:rPr>
          <w:rFonts w:ascii="Arial" w:cs="Arial" w:eastAsia="Arial" w:hAnsi="Arial"/>
          <w:rtl w:val="0"/>
        </w:rPr>
        <w:t xml:space="preserve"> przedłożone sprawozdanie z wykonania budżetu Gminy Zielona Dolina za rok 2025.</w:t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UZASADNIENIE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Wójt Gminy Zielona Dolina, realizując obowiązek wynikający z art. 267 ust. 1 ustawy o finansach publicznych, przedłożył Regionalnej Izbie Obrachunkowej w Rzeszowie sprawozdanie roczne z wykonania budżetu za rok 2025 w ustawowym terminie. Skład Orzekający dokonał analizy formalno-prawnej oraz rachunkowej przedłożonego dokumentu.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Dane zawarte w sprawozdaniu wykazują pełną spójność z danymi sprawozdawczości budżetowej oraz księgowej. Podstawowe wielkości budżetowe po stronie dochodów i wydatków ukształtowały się następująco: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Kategoria budżetowa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Plan po zmianach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Wykonanie kasowe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% realizacji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Dochody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42 000 000,00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43 150 000,00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102,74%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Wydatki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43 500 000,00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42 300 000,00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97,24%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Wynik (Nadwyżka)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-1 500 000,00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b w:val="1"/>
                <w:bCs w:val="1"/>
                <w:color w:val="008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8000"/>
                <w:rtl w:val="0"/>
              </w:rPr>
              <w:t xml:space="preserve">+850 000,00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Skład Orzekający stwierdza, że zachowane zostały wymogi art. 242 ustawy o finansach publicznych (zrównoważenie wydatków bieżących dochodami bieżącymi). Przedłożona informacja o stanie mienia komunalnego spełnia warunki określone w przepisach.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Od niniejszej uchwały przysługuje odwołanie do Kolegium Regionalnej Izby Obrachunkowej w Rzeszowie w terminie 14 dni od dnia jej doręczenia.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Przewodniczący Składu Orzekającego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dr hab. Andrzej Maciejewski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