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REGIONALNA IZBA OBRACHUNKOWA W RZESZOWIE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UCHWAŁA NR SO-I/401/95/2025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Składu Orzekającego Regionalnej Izby Obrachunkowej w Rzeszowie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5 grudnia 2025 r.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opinii o przedłożonym przez Wójta Gminy Zielona Dolina projekcie uchwały budżetowej na rok 2026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Skład Orzekający Regionalnej Izby Obrachunkowej w Rzeszowie w osobach: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Przewodniczący: dr hab. Andrzej Maciejewski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Członek: mgr Krystyna Rynkar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Członek: mgr Janusz Pasterz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działając na podstawie art. 13 pkt 3, art. 19 ust. 2 ustawy z dnia 7 października 1992 r. o regionalnych izbach obrachunkowych (Dz. U. z 2025 r. poz. 900), po rozpatrzeniu przedłożonego przez Wójta Gminy Zielona Dolina projektu uchwały budżetowej na rok 2026 wraz z objaśnieniami,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postanawia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zaopiniować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pozytywnie</w:t>
      </w:r>
      <w:r w:rsidDel="00000000" w:rsidR="00000000" w:rsidRPr="00000000">
        <w:rPr>
          <w:rFonts w:ascii="Arial" w:cs="Arial" w:eastAsia="Arial" w:hAnsi="Arial"/>
          <w:rtl w:val="0"/>
        </w:rPr>
        <w:t xml:space="preserve"> przedłożony projekt uchwały budżetowej Gminy Zielona Dolina na rok 2026.</w:t>
      </w:r>
    </w:p>
    <w:p w:rsidR="00000000" w:rsidDel="00000000" w:rsidP="00000000" w:rsidRDefault="00000000" w:rsidRPr="00000000" w14:paraId="0000000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UZASADNIENIE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Wójt Gminy Zielona Dolina przedłożył Regionalnej Izbie Obrachunkowej w Rzeszowie projekt uchwały budżetowej na rok 2026 w ustawowym terminie. Skład Orzekający dokonał analizy zgodności projektu z przepisami ustawy o finansach publicznych.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Projekt budżetu na rok 2026 zakłada następujące wielkości: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Wyszczególnienie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Kwota w projekcie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Uwagi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Dochody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45 000 000,00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 tym dochody bieżące: 41 200 000,00 zł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Wydatki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47 500 000,00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w tym wydatki majątkowe: 7 700 000,00 zł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Deficyt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rtl w:val="0"/>
              </w:rPr>
              <w:t xml:space="preserve">2 500 000,00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Źródłem pokrycia będą wolne środki oraz nadwyżka z lat ubiegłych.</w:t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Biorąc pod uwagę, że zaplanowane dochody i wydatki spełniają wymogi formalne, a planowany deficyt posiada prawnie dopuszczalne źródła pokrycia, Skład Orzekający wydał opinię jak w sentencji.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Przewodniczący Składu Orzekającego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dr hab. Andrzej Maciejewski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