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REGIONALNA IZBA OBRACHUNKOWA W RZESZOWIE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ul. Mickiewicza 10, 35-001 Rzeszów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WYSTĄPIENIE POKONTROLNE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Znak sprawy: RIO.I.0913.12.2026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Rzeszów, dnia 20 kwietnia 2026 r.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Kontrolowana jednostka:</w:t>
      </w:r>
      <w:r w:rsidDel="00000000" w:rsidR="00000000" w:rsidRPr="00000000">
        <w:rPr>
          <w:rFonts w:ascii="Arial" w:cs="Arial" w:eastAsia="Arial" w:hAnsi="Arial"/>
          <w:rtl w:val="0"/>
        </w:rPr>
        <w:t xml:space="preserve"> Urząd Gminy Zielona Dolina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Kierownik jednostki: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 Kowalski — Wójt Gminy Zielona Dolina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Główny księgowy: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Elżbieta Mazur — Skarbnik Gminy Zielona Dolina</w:t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I. Zakres i cel kontroli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Inspektorzy Regionalnej Izby Obrachunkowej w Rzeszowie przeprowadzili kontrolę kompleksową gospodarki finansowej oraz postępowań o udzielenie zamówień publicznych w Gminie Zielona Dolina za lata obrachunkowe 2024–2025. Celem kontroli była ocena legalności, gospodarności, celowości oraz rzetelności w zakresie zarządzania środkami publicznymi, realizacji budżetu oraz prowadzenia sprawozdawczości finansowej.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II. Podsumowanie ustaleń kontrolnych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Protokół kontroli został podpisany bez zastrzeżeń w dniu 12 kwietnia 2026 r. Przeprowadzone czynności kontrolne oraz analiza dokumentacji źródłowej wykazały, że gospodarka finansowa Gminy Zielona Dolina prowadzona jest w sposób prawidłowy i zgodny z obowiązującymi przepisami prawa, w szczególności z ustawą o finansach publicznych oraz ustawą o rachunkowości. Wystąpienie pokontrolne nie wykazało rażących uchybień ani nieprawidłowości skutkujących naruszeniem dyscypliny finansów publicznych.</w:t>
      </w:r>
    </w:p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III. Ocena poszczególnych obszarów działalności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Badany obszar gospodarki finansowej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Ocena końcowa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Uwagi i zalecenia pokontrolne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Realizacja dochodów i wydatków budżetowych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Wydatki dokonywane w granicach kwot określonych w planie finansowym.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Zamówienia publiczne i przetargi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Procedury przetargowe realizowane zgodnie z przepisami ustawy Prawa zamówień publicznych.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Prowadzenie ksiąg rachunkowych i sprawozdawczość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Księgi prowadzone rzetelnie, sprawozdania sporządzane terminowo i zgodnie ze stanem faktycznym.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Gospodarowanie mieniem komunalnym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Pozytywna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Prawidłowy nadzór nad ewidencją majątku oraz procedurami inwentaryzacyjnymi.</w:t>
            </w:r>
          </w:p>
        </w:tc>
      </w:tr>
    </w:tbl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IV. Wnioski końcowe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Mając na uwadze pozytywną ocenę kompleksową, Regionalna Izba Obrachunkowa odstępuje od wydawania zaleceń dyscyplinujących. Zaleca się utrzymanie dotychczasowych wysokich standardów wewnętrznej kontroli zarządczej.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Podpisano przez: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Inspektor Nadzoru RIO w Rzeszowie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