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SPRAWOZDANIE ROCZNE Z WYKONANIA BUDŻETU GMINY ZIELONA DOLINA ZA ROK 2025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="30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Wraz z informacją o stanie mienia komunalnego Gminy Zielona Dolina na dzień 31 grudnia 2025 r.</w:t>
      </w:r>
    </w:p>
    <w:p w:rsidR="00000000" w:rsidDel="00000000" w:rsidP="00000000" w:rsidRDefault="00000000" w:rsidRPr="00000000" w14:paraId="00000003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I. Wprowadzenie i Ogólne Podsumowanie Realizacji Budżetu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Sprawozdanie roczne z wykonania budżetu Gminy Zielona Dolina za rok 2025 zostało sporządzone na podstawie art. 267 ustawy z dnia 27 sierpnia 2009 r. o finansach publicznych. Obejmuje ono szczegółowe ujęcie wykonania planu dochodów i wydatków budżetowych, a także wynik finansowy roku budżetowego.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Budżet Gminy Zielona Dolina za rok 2025 zamknął się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nadwyżką budżetową</w:t>
      </w:r>
      <w:r w:rsidDel="00000000" w:rsidR="00000000" w:rsidRPr="00000000">
        <w:rPr>
          <w:rFonts w:ascii="Arial" w:cs="Arial" w:eastAsia="Arial" w:hAnsi="Arial"/>
          <w:rtl w:val="0"/>
        </w:rPr>
        <w:t xml:space="preserve"> w wysokości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850 000,00 zł</w:t>
      </w:r>
      <w:r w:rsidDel="00000000" w:rsidR="00000000" w:rsidRPr="00000000">
        <w:rPr>
          <w:rFonts w:ascii="Arial" w:cs="Arial" w:eastAsia="Arial" w:hAnsi="Arial"/>
          <w:rtl w:val="0"/>
        </w:rPr>
        <w:t xml:space="preserve">, przy pierwotnie planowanym deficycie. Wynik ten osiągnięto dzięki rzetelnej dyscyplinie budżetowej oraz wyższym niż zakładano wpływom z tytułu udziału w podatkach dochodowych (PIT i CIT).</w:t>
      </w:r>
    </w:p>
    <w:p w:rsidR="00000000" w:rsidDel="00000000" w:rsidP="00000000" w:rsidRDefault="00000000" w:rsidRPr="00000000" w14:paraId="00000006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II. Realizacja Dochodów Budżetowych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Plan dochodów budżetowych po zmianach na rok 2025 zakładał uzyskanie kwoty 42 000 000,00 zł. Realizacja kasowa dochodów wyniosła ostatecznie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43 150 000,00 zł</w:t>
      </w:r>
      <w:r w:rsidDel="00000000" w:rsidR="00000000" w:rsidRPr="00000000">
        <w:rPr>
          <w:rFonts w:ascii="Arial" w:cs="Arial" w:eastAsia="Arial" w:hAnsi="Arial"/>
          <w:rtl w:val="0"/>
        </w:rPr>
        <w:t xml:space="preserve">, co stanowi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102,74%</w:t>
      </w:r>
      <w:r w:rsidDel="00000000" w:rsidR="00000000" w:rsidRPr="00000000">
        <w:rPr>
          <w:rFonts w:ascii="Arial" w:cs="Arial" w:eastAsia="Arial" w:hAnsi="Arial"/>
          <w:rtl w:val="0"/>
        </w:rPr>
        <w:t xml:space="preserve"> założonego planu rocznego.</w:t>
      </w:r>
    </w:p>
    <w:tbl>
      <w:tblPr>
        <w:tblStyle w:val="Table1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1872"/>
        <w:gridCol w:w="1872"/>
        <w:gridCol w:w="1872"/>
        <w:gridCol w:w="1872"/>
        <w:gridCol w:w="1872"/>
        <w:tblGridChange w:id="0">
          <w:tblGrid>
            <w:gridCol w:w="1872"/>
            <w:gridCol w:w="1872"/>
            <w:gridCol w:w="1872"/>
            <w:gridCol w:w="1872"/>
            <w:gridCol w:w="1872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2f2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Dział klasyfikacji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2f2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Źródło dochodu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2f2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Plan po zmianach (PLN)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2f2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Wykonanie (PLN)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2f2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% realizacji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756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Podatki i opłaty lokalne oraz udziały w PIT/CIT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17 100 000,00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17 950 000,00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104,97%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758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Różne rozliczenia (subwencje z budżetu państwa)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15 800 000,00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15 800 000,00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100,00%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852/855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Pomoc społeczna i świadczenia rodzinne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4 100 000,00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4 150 000,00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101,22%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—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Pozostałe źródła (w tym fundusze UE)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5 000 000,00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5 250 000,00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105,00%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eaef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SUMA DOCHODÓW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eaef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42 000 000,00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eaef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43 150 000,00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eaef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102,74%</w:t>
            </w:r>
          </w:p>
        </w:tc>
      </w:tr>
    </w:tbl>
    <w:p w:rsidR="00000000" w:rsidDel="00000000" w:rsidP="00000000" w:rsidRDefault="00000000" w:rsidRPr="00000000" w14:paraId="00000027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00" w:lineRule="auto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III. Realizacja Wydatków Budżetowych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Plan wydatków budżetowych po zmianach wynosił 43 500 000,00 zł. Łączne wykonanie wydatków zamknęło się w kwocie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42 300 000,00 zł</w:t>
      </w:r>
      <w:r w:rsidDel="00000000" w:rsidR="00000000" w:rsidRPr="00000000">
        <w:rPr>
          <w:rFonts w:ascii="Arial" w:cs="Arial" w:eastAsia="Arial" w:hAnsi="Arial"/>
          <w:rtl w:val="0"/>
        </w:rPr>
        <w:t xml:space="preserve">, co stanowi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97,24%</w:t>
      </w:r>
      <w:r w:rsidDel="00000000" w:rsidR="00000000" w:rsidRPr="00000000">
        <w:rPr>
          <w:rFonts w:ascii="Arial" w:cs="Arial" w:eastAsia="Arial" w:hAnsi="Arial"/>
          <w:rtl w:val="0"/>
        </w:rPr>
        <w:t xml:space="preserve"> zaplanowanego limitu rocznego.</w:t>
      </w:r>
    </w:p>
    <w:tbl>
      <w:tblPr>
        <w:tblStyle w:val="Table2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1872"/>
        <w:gridCol w:w="1872"/>
        <w:gridCol w:w="1872"/>
        <w:gridCol w:w="1872"/>
        <w:gridCol w:w="1872"/>
        <w:tblGridChange w:id="0">
          <w:tblGrid>
            <w:gridCol w:w="1872"/>
            <w:gridCol w:w="1872"/>
            <w:gridCol w:w="1872"/>
            <w:gridCol w:w="1872"/>
            <w:gridCol w:w="1872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2f2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Dział klasyfikacji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2f2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Główne grupy przeznaczenia wydatków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2f2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Plan po zmianach (PLN)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2f2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Wykonanie (PLN)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2f2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% realizacji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Transport i łączność (infrastruktura drogowa)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4 900 000,00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4 650 000,00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94,90%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750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Administracja publiczna (utrzymanie i funkcjonowanie)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3 950 000,00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3 900 000,00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98,73%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801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Oświata i wychowanie (oświata samorządowa)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21 200 000,00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21 150 000,00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99,76%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900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Gospodarka komunalna i ochrona środowiska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6 100 000,00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5 800 000,00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95,08%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—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Pozostałe działy klasyfikacji wydatków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7 350 000,00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6 800 000,00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92,52%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eaef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SUMA WYDATKÓW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eaef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43 500 000,00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eaef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42 300 000,00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eaef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97,24%</w:t>
            </w:r>
          </w:p>
        </w:tc>
      </w:tr>
    </w:tbl>
    <w:p w:rsidR="00000000" w:rsidDel="00000000" w:rsidP="00000000" w:rsidRDefault="00000000" w:rsidRPr="00000000" w14:paraId="0000004D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00" w:lineRule="auto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MAJĄTEK I MIENIE KOMUNALNE</w:t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0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Wartość mienia komunalnego i składników majątkowych Gminy Zielona Dolina według stanu ewidencyjnego na dzień 31 grudnia 2025 r. zamknęła się kwotą ogólną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54 320 000,00 zł</w:t>
      </w:r>
      <w:r w:rsidDel="00000000" w:rsidR="00000000" w:rsidRPr="00000000">
        <w:rPr>
          <w:rFonts w:ascii="Arial" w:cs="Arial" w:eastAsia="Arial" w:hAnsi="Arial"/>
          <w:rtl w:val="0"/>
        </w:rPr>
        <w:t xml:space="preserve">, odnotowując wzrost o 4,2% w stosunku do roku ubiegłego na skutek zakończenia kluczowych inwestycji drogowych i kubaturowych.</w:t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Sporządził:</w:t>
      </w:r>
      <w:r w:rsidDel="00000000" w:rsidR="00000000" w:rsidRPr="00000000">
        <w:rPr>
          <w:rFonts w:ascii="Arial" w:cs="Arial" w:eastAsia="Arial" w:hAnsi="Arial"/>
          <w:rtl w:val="0"/>
        </w:rPr>
        <w:t xml:space="preserve"> mgr Elżbieta Mazur — Skarbnik Gminy</w:t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Zatwierdził:</w:t>
      </w:r>
      <w:r w:rsidDel="00000000" w:rsidR="00000000" w:rsidRPr="00000000">
        <w:rPr>
          <w:rFonts w:ascii="Arial" w:cs="Arial" w:eastAsia="Arial" w:hAnsi="Arial"/>
          <w:rtl w:val="0"/>
        </w:rPr>
        <w:t xml:space="preserve"> mgr Jan Kowalski — Wójt Gminy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