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jc w:val="center"/>
        <w:rPr>
          <w:rFonts w:ascii="Arial" w:cs="Arial" w:eastAsia="Arial" w:hAnsi="Arial"/>
          <w:color w:val="1a5c87"/>
        </w:rPr>
      </w:pPr>
      <w:r w:rsidDel="00000000" w:rsidR="00000000" w:rsidRPr="00000000">
        <w:rPr>
          <w:rFonts w:ascii="Arial" w:cs="Arial" w:eastAsia="Arial" w:hAnsi="Arial"/>
          <w:color w:val="1a5c87"/>
          <w:rtl w:val="0"/>
        </w:rPr>
        <w:t xml:space="preserve">ŁĄCZNE SPRAWOZDANIE FINANSOWE GMINY ZIELONA DOLINA</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300" w:lineRule="auto"/>
        <w:jc w:val="center"/>
        <w:rPr>
          <w:rFonts w:ascii="Arial" w:cs="Arial" w:eastAsia="Arial" w:hAnsi="Arial"/>
          <w:b w:val="1"/>
          <w:bCs w:val="1"/>
          <w:sz w:val="38"/>
          <w:szCs w:val="38"/>
        </w:rPr>
      </w:pPr>
      <w:r w:rsidDel="00000000" w:rsidR="00000000" w:rsidRPr="00000000">
        <w:rPr>
          <w:rFonts w:ascii="Arial" w:cs="Arial" w:eastAsia="Arial" w:hAnsi="Arial"/>
          <w:b w:val="1"/>
          <w:bCs w:val="1"/>
          <w:sz w:val="38"/>
          <w:szCs w:val="38"/>
          <w:rtl w:val="0"/>
        </w:rPr>
        <w:t xml:space="preserve">Urząd Gminy Zielona Dolina</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50" w:line="30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za rok obrotowy kończący się 31 grudnia 2024 roku</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375" w:line="300" w:lineRule="auto"/>
        <w:rPr>
          <w:rFonts w:ascii="Arial" w:cs="Arial" w:eastAsia="Arial" w:hAnsi="Arial"/>
        </w:rPr>
      </w:pPr>
      <w:r w:rsidDel="00000000" w:rsidR="00000000" w:rsidRPr="00000000">
        <w:rPr>
          <w:rFonts w:ascii="Arial" w:cs="Arial" w:eastAsia="Arial" w:hAnsi="Arial"/>
          <w:rtl w:val="0"/>
        </w:rPr>
        <w:t xml:space="preserve">Na podstawie przepisów ustawy z dnia 29 września 1994 r. o rachunkowości (Dz. U. z 2025 r. poz. 400 z późn. zm.) oraz rozporządzenia Ministra Rozwoju i Finansów z dnia 13 września 2017 r. w sprawie rachunkowości oraz planów kont dla budżetu państwa, budżetów jednostek samorządu terytorialnego oraz niektórych jednostek sektora finansów publicznych, przedkłada się syntezę łącznego sprawozdania finansowego Gminy Zielona Dolina, na które składają się: bilans, rachunek zysków i strat oraz zestawienie zmian w funduszu.</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Rule="auto"/>
        <w:rPr>
          <w:rFonts w:ascii="Arial" w:cs="Arial" w:eastAsia="Arial" w:hAnsi="Arial"/>
          <w:color w:val="2c3e50"/>
        </w:rPr>
      </w:pPr>
      <w:r w:rsidDel="00000000" w:rsidR="00000000" w:rsidRPr="00000000">
        <w:rPr>
          <w:rFonts w:ascii="Arial" w:cs="Arial" w:eastAsia="Arial" w:hAnsi="Arial"/>
          <w:color w:val="2c3e50"/>
          <w:rtl w:val="0"/>
        </w:rPr>
        <w:t xml:space="preserve">1. BILANS JEDNOSTKI BUDŻETOWEJ I SAMORZĄDOWEGO ZAKŁADU BUDŻETOWEGO (Synteza Aktywów i Pasywów)</w:t>
      </w:r>
    </w:p>
    <w:tbl>
      <w:tblPr>
        <w:tblStyle w:val="Table1"/>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1a5c87" w:val="clear"/>
            <w:tcMar>
              <w:top w:w="150.0" w:type="dxa"/>
              <w:left w:w="150.0" w:type="dxa"/>
              <w:bottom w:w="150.0" w:type="dxa"/>
              <w:right w:w="150.0" w:type="dxa"/>
            </w:tcMar>
            <w:vAlign w:val="top"/>
          </w:tcPr>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color w:val="ffffff"/>
                <w:shd w:fill="auto" w:val="clear"/>
              </w:rPr>
            </w:pPr>
            <w:r w:rsidDel="00000000" w:rsidR="00000000" w:rsidRPr="00000000">
              <w:rPr>
                <w:rFonts w:ascii="Arial" w:cs="Arial" w:eastAsia="Arial" w:hAnsi="Arial"/>
                <w:b w:val="1"/>
                <w:bCs w:val="1"/>
                <w:color w:val="ffffff"/>
                <w:shd w:fill="auto" w:val="clear"/>
                <w:rtl w:val="0"/>
              </w:rPr>
              <w:t xml:space="preserve">AKTYWA</w:t>
            </w:r>
          </w:p>
        </w:tc>
        <w:tc>
          <w:tcPr>
            <w:tcBorders>
              <w:top w:color="dddddd" w:space="0" w:sz="6" w:val="single"/>
              <w:left w:color="dddddd" w:space="0" w:sz="6" w:val="single"/>
              <w:bottom w:color="dddddd" w:space="0" w:sz="6" w:val="single"/>
              <w:right w:color="dddddd" w:space="0" w:sz="6" w:val="single"/>
            </w:tcBorders>
            <w:shd w:fill="1a5c87" w:val="clear"/>
            <w:tcMar>
              <w:top w:w="150.0" w:type="dxa"/>
              <w:left w:w="150.0" w:type="dxa"/>
              <w:bottom w:w="150.0" w:type="dxa"/>
              <w:right w:w="150.0" w:type="dxa"/>
            </w:tcMar>
            <w:vAlign w:val="top"/>
          </w:tcPr>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color w:val="ffffff"/>
                <w:shd w:fill="auto" w:val="clear"/>
              </w:rPr>
            </w:pPr>
            <w:r w:rsidDel="00000000" w:rsidR="00000000" w:rsidRPr="00000000">
              <w:rPr>
                <w:rFonts w:ascii="Arial" w:cs="Arial" w:eastAsia="Arial" w:hAnsi="Arial"/>
                <w:b w:val="1"/>
                <w:bCs w:val="1"/>
                <w:color w:val="ffffff"/>
                <w:shd w:fill="auto" w:val="clear"/>
                <w:rtl w:val="0"/>
              </w:rPr>
              <w:t xml:space="preserve">Wartość (PLN)</w:t>
            </w:r>
          </w:p>
        </w:tc>
        <w:tc>
          <w:tcPr>
            <w:tcBorders>
              <w:top w:color="dddddd" w:space="0" w:sz="6" w:val="single"/>
              <w:left w:color="dddddd" w:space="0" w:sz="6" w:val="single"/>
              <w:bottom w:color="dddddd" w:space="0" w:sz="6" w:val="single"/>
              <w:right w:color="dddddd" w:space="0" w:sz="6" w:val="single"/>
            </w:tcBorders>
            <w:shd w:fill="1a5c87" w:val="clear"/>
            <w:tcMar>
              <w:top w:w="150.0" w:type="dxa"/>
              <w:left w:w="150.0" w:type="dxa"/>
              <w:bottom w:w="150.0" w:type="dxa"/>
              <w:right w:w="15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color w:val="ffffff"/>
                <w:shd w:fill="auto" w:val="clear"/>
              </w:rPr>
            </w:pPr>
            <w:r w:rsidDel="00000000" w:rsidR="00000000" w:rsidRPr="00000000">
              <w:rPr>
                <w:rFonts w:ascii="Arial" w:cs="Arial" w:eastAsia="Arial" w:hAnsi="Arial"/>
                <w:b w:val="1"/>
                <w:bCs w:val="1"/>
                <w:color w:val="ffffff"/>
                <w:shd w:fill="auto" w:val="clear"/>
                <w:rtl w:val="0"/>
              </w:rPr>
              <w:t xml:space="preserve">PASYWA</w:t>
            </w:r>
          </w:p>
        </w:tc>
        <w:tc>
          <w:tcPr>
            <w:tcBorders>
              <w:top w:color="dddddd" w:space="0" w:sz="6" w:val="single"/>
              <w:left w:color="dddddd" w:space="0" w:sz="6" w:val="single"/>
              <w:bottom w:color="dddddd" w:space="0" w:sz="6" w:val="single"/>
              <w:right w:color="dddddd" w:space="0" w:sz="6" w:val="single"/>
            </w:tcBorders>
            <w:shd w:fill="1a5c87" w:val="clear"/>
            <w:tcMar>
              <w:top w:w="150.0" w:type="dxa"/>
              <w:left w:w="150.0" w:type="dxa"/>
              <w:bottom w:w="150.0" w:type="dxa"/>
              <w:right w:w="15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color w:val="ffffff"/>
                <w:shd w:fill="auto" w:val="clear"/>
              </w:rPr>
            </w:pPr>
            <w:r w:rsidDel="00000000" w:rsidR="00000000" w:rsidRPr="00000000">
              <w:rPr>
                <w:rFonts w:ascii="Arial" w:cs="Arial" w:eastAsia="Arial" w:hAnsi="Arial"/>
                <w:b w:val="1"/>
                <w:bCs w:val="1"/>
                <w:color w:val="ffffff"/>
                <w:shd w:fill="auto" w:val="clear"/>
                <w:rtl w:val="0"/>
              </w:rPr>
              <w:t xml:space="preserve">Wartość (PLN)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A. Aktywa trwałe</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48 500 000,00</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A. Fundusz</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43 200 000,00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I. Rzeczowe aktywa trwałe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shd w:fill="auto" w:val="clear"/>
              </w:rPr>
            </w:pPr>
            <w:r w:rsidDel="00000000" w:rsidR="00000000" w:rsidRPr="00000000">
              <w:rPr>
                <w:rFonts w:ascii="Arial" w:cs="Arial" w:eastAsia="Arial" w:hAnsi="Arial"/>
                <w:shd w:fill="auto" w:val="clear"/>
                <w:rtl w:val="0"/>
              </w:rPr>
              <w:t xml:space="preserve">48 100 000,00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I. Fundusz jednostki</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shd w:fill="auto" w:val="clear"/>
              </w:rPr>
            </w:pPr>
            <w:r w:rsidDel="00000000" w:rsidR="00000000" w:rsidRPr="00000000">
              <w:rPr>
                <w:rFonts w:ascii="Arial" w:cs="Arial" w:eastAsia="Arial" w:hAnsi="Arial"/>
                <w:shd w:fill="auto" w:val="clear"/>
                <w:rtl w:val="0"/>
              </w:rPr>
              <w:t xml:space="preserve">41 500 000,00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II. Inne aktywa trwałe</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rPr>
            </w:pPr>
            <w:r w:rsidDel="00000000" w:rsidR="00000000" w:rsidRPr="00000000">
              <w:rPr>
                <w:rFonts w:ascii="Arial" w:cs="Arial" w:eastAsia="Arial" w:hAnsi="Arial"/>
                <w:rtl w:val="0"/>
              </w:rPr>
              <w:t xml:space="preserve">400 000,00</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II. Wynik finansowy netto (+/-)</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rPr>
            </w:pPr>
            <w:r w:rsidDel="00000000" w:rsidR="00000000" w:rsidRPr="00000000">
              <w:rPr>
                <w:rFonts w:ascii="Arial" w:cs="Arial" w:eastAsia="Arial" w:hAnsi="Arial"/>
                <w:rtl w:val="0"/>
              </w:rPr>
              <w:t xml:space="preserve">1 700 000,00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B. Aktywa obrotowe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3 630 000,00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B. Zobowiązania i rezerwy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8 930 000,00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I. Zapasy i należności krótkoterminowe</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rPr>
            </w:pPr>
            <w:r w:rsidDel="00000000" w:rsidR="00000000" w:rsidRPr="00000000">
              <w:rPr>
                <w:rFonts w:ascii="Arial" w:cs="Arial" w:eastAsia="Arial" w:hAnsi="Arial"/>
                <w:rtl w:val="0"/>
              </w:rPr>
              <w:t xml:space="preserve">1 830 000,00</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I. Zobowiązania długoterminowe</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rPr>
            </w:pPr>
            <w:r w:rsidDel="00000000" w:rsidR="00000000" w:rsidRPr="00000000">
              <w:rPr>
                <w:rFonts w:ascii="Arial" w:cs="Arial" w:eastAsia="Arial" w:hAnsi="Arial"/>
                <w:rtl w:val="0"/>
              </w:rPr>
              <w:t xml:space="preserve">6 500 000,00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II. Środki pieniężne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shd w:fill="auto" w:val="clear"/>
              </w:rPr>
            </w:pPr>
            <w:r w:rsidDel="00000000" w:rsidR="00000000" w:rsidRPr="00000000">
              <w:rPr>
                <w:rFonts w:ascii="Arial" w:cs="Arial" w:eastAsia="Arial" w:hAnsi="Arial"/>
                <w:shd w:fill="auto" w:val="clear"/>
                <w:rtl w:val="0"/>
              </w:rPr>
              <w:t xml:space="preserve">1 800 000,00</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II. Zobowiązania krótkoterminowe i rezerwy</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shd w:fill="auto" w:val="clear"/>
              </w:rPr>
            </w:pPr>
            <w:r w:rsidDel="00000000" w:rsidR="00000000" w:rsidRPr="00000000">
              <w:rPr>
                <w:rFonts w:ascii="Arial" w:cs="Arial" w:eastAsia="Arial" w:hAnsi="Arial"/>
                <w:shd w:fill="auto" w:val="clear"/>
                <w:rtl w:val="0"/>
              </w:rPr>
              <w:t xml:space="preserve">2 430 000,00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SUMA AKTYWÓW</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52 130 000,00</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SUMA PASYWÓW</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52 130 000,00</w:t>
            </w:r>
          </w:p>
        </w:tc>
      </w:tr>
    </w:tbl>
    <w:p w:rsidR="00000000" w:rsidDel="00000000" w:rsidP="00000000" w:rsidRDefault="00000000" w:rsidRPr="00000000" w14:paraId="00000027">
      <w:pPr>
        <w:pStyle w:val="Heading2"/>
        <w:pBdr>
          <w:top w:space="0" w:sz="0" w:val="nil"/>
          <w:left w:space="0" w:sz="0" w:val="nil"/>
          <w:bottom w:space="0" w:sz="0" w:val="nil"/>
          <w:right w:space="0" w:sz="0" w:val="nil"/>
          <w:between w:space="0" w:sz="0" w:val="nil"/>
        </w:pBdr>
        <w:shd w:fill="auto" w:val="clear"/>
        <w:spacing w:before="375" w:lineRule="auto"/>
        <w:rPr>
          <w:rFonts w:ascii="Arial" w:cs="Arial" w:eastAsia="Arial" w:hAnsi="Arial"/>
          <w:color w:val="2c3e50"/>
        </w:rPr>
      </w:pPr>
      <w:r w:rsidDel="00000000" w:rsidR="00000000" w:rsidRPr="00000000">
        <w:rPr>
          <w:rFonts w:ascii="Arial" w:cs="Arial" w:eastAsia="Arial" w:hAnsi="Arial"/>
          <w:color w:val="2c3e50"/>
          <w:rtl w:val="0"/>
        </w:rPr>
        <w:t xml:space="preserve">2. RACHUNEK ZYSKÓW I STRAT JEDNOSTKI (Wariant porównawczy)</w:t>
      </w:r>
    </w:p>
    <w:tbl>
      <w:tblPr>
        <w:tblStyle w:val="Table2"/>
        <w:tblW w:w="9360.0" w:type="dxa"/>
        <w:jc w:val="left"/>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50.0" w:type="dxa"/>
              <w:left w:w="150.0" w:type="dxa"/>
              <w:bottom w:w="150.0" w:type="dxa"/>
              <w:right w:w="15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Pozycja</w:t>
            </w:r>
          </w:p>
        </w:tc>
        <w:tc>
          <w:tcPr>
            <w:tcBorders>
              <w:top w:color="dddddd" w:space="0" w:sz="6" w:val="single"/>
              <w:left w:color="dddddd" w:space="0" w:sz="6" w:val="single"/>
              <w:bottom w:color="dddddd" w:space="0" w:sz="6" w:val="single"/>
              <w:right w:color="dddddd" w:space="0" w:sz="6" w:val="single"/>
            </w:tcBorders>
            <w:shd w:fill="f2f2f2" w:val="clear"/>
            <w:tcMar>
              <w:top w:w="150.0" w:type="dxa"/>
              <w:left w:w="150.0" w:type="dxa"/>
              <w:bottom w:w="150.0" w:type="dxa"/>
              <w:right w:w="15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Wyszczególnienie głównych pozycji przychodów i kosztów</w:t>
            </w:r>
          </w:p>
        </w:tc>
        <w:tc>
          <w:tcPr>
            <w:tcBorders>
              <w:top w:color="dddddd" w:space="0" w:sz="6" w:val="single"/>
              <w:left w:color="dddddd" w:space="0" w:sz="6" w:val="single"/>
              <w:bottom w:color="dddddd" w:space="0" w:sz="6" w:val="single"/>
              <w:right w:color="dddddd" w:space="0" w:sz="6" w:val="single"/>
            </w:tcBorders>
            <w:shd w:fill="f2f2f2" w:val="clear"/>
            <w:tcMar>
              <w:top w:w="150.0" w:type="dxa"/>
              <w:left w:w="150.0" w:type="dxa"/>
              <w:bottom w:w="150.0" w:type="dxa"/>
              <w:right w:w="15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Stan na koniec 2024 r. (PLN)</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 </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A.</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Przychody netto z działalności podstawowej</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38 900 000,00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B.</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Koszty działalności operacyjnej</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37 350 000,00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I.</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Amortyzacja</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rPr>
            </w:pPr>
            <w:r w:rsidDel="00000000" w:rsidR="00000000" w:rsidRPr="00000000">
              <w:rPr>
                <w:rFonts w:ascii="Arial" w:cs="Arial" w:eastAsia="Arial" w:hAnsi="Arial"/>
                <w:rtl w:val="0"/>
              </w:rPr>
              <w:t xml:space="preserve">1 400 000,00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II.</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Zużycie materiałów i energii oraz usługi obce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shd w:fill="auto" w:val="clear"/>
              </w:rPr>
            </w:pPr>
            <w:r w:rsidDel="00000000" w:rsidR="00000000" w:rsidRPr="00000000">
              <w:rPr>
                <w:rFonts w:ascii="Arial" w:cs="Arial" w:eastAsia="Arial" w:hAnsi="Arial"/>
                <w:shd w:fill="auto" w:val="clear"/>
                <w:rtl w:val="0"/>
              </w:rPr>
              <w:t xml:space="preserve">9 850 000,00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III.</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rPr>
            </w:pPr>
            <w:r w:rsidDel="00000000" w:rsidR="00000000" w:rsidRPr="00000000">
              <w:rPr>
                <w:rFonts w:ascii="Arial" w:cs="Arial" w:eastAsia="Arial" w:hAnsi="Arial"/>
                <w:rtl w:val="0"/>
              </w:rPr>
              <w:t xml:space="preserve">Wynagrodzenia i świadczenia dla pracowników</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rPr>
            </w:pPr>
            <w:r w:rsidDel="00000000" w:rsidR="00000000" w:rsidRPr="00000000">
              <w:rPr>
                <w:rFonts w:ascii="Arial" w:cs="Arial" w:eastAsia="Arial" w:hAnsi="Arial"/>
                <w:rtl w:val="0"/>
              </w:rPr>
              <w:t xml:space="preserve">23 100 000,00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IV.</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shd w:fill="auto" w:val="clear"/>
              </w:rPr>
            </w:pPr>
            <w:r w:rsidDel="00000000" w:rsidR="00000000" w:rsidRPr="00000000">
              <w:rPr>
                <w:rFonts w:ascii="Arial" w:cs="Arial" w:eastAsia="Arial" w:hAnsi="Arial"/>
                <w:shd w:fill="auto" w:val="clear"/>
                <w:rtl w:val="0"/>
              </w:rPr>
              <w:t xml:space="preserve">Pozostałe koszty rodzajowe</w:t>
            </w:r>
          </w:p>
        </w:tc>
        <w:tc>
          <w:tcPr>
            <w:tcBorders>
              <w:top w:color="dddddd" w:space="0" w:sz="6" w:val="single"/>
              <w:left w:color="dddddd" w:space="0" w:sz="6" w:val="single"/>
              <w:bottom w:color="dddddd" w:space="0" w:sz="6" w:val="single"/>
              <w:right w:color="dddddd" w:space="0" w:sz="6" w:val="single"/>
            </w:tcBorders>
            <w:shd w:fill="f9f9f9" w:val="clear"/>
            <w:tcMar>
              <w:top w:w="120.0" w:type="dxa"/>
              <w:left w:w="120.0" w:type="dxa"/>
              <w:bottom w:w="120.0" w:type="dxa"/>
              <w:right w:w="12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shd w:fill="auto" w:val="clear"/>
              </w:rPr>
            </w:pPr>
            <w:r w:rsidDel="00000000" w:rsidR="00000000" w:rsidRPr="00000000">
              <w:rPr>
                <w:rFonts w:ascii="Arial" w:cs="Arial" w:eastAsia="Arial" w:hAnsi="Arial"/>
                <w:shd w:fill="auto" w:val="clear"/>
                <w:rtl w:val="0"/>
              </w:rPr>
              <w:t xml:space="preserve">3 000 000,00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C.</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ZYSK / STRATA Z DZIAŁALNOŚCI OPERACYJNEJ (A - B)</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color w:val="008000"/>
                <w:shd w:fill="auto" w:val="clear"/>
              </w:rPr>
            </w:pPr>
            <w:r w:rsidDel="00000000" w:rsidR="00000000" w:rsidRPr="00000000">
              <w:rPr>
                <w:rFonts w:ascii="Arial" w:cs="Arial" w:eastAsia="Arial" w:hAnsi="Arial"/>
                <w:b w:val="1"/>
                <w:bCs w:val="1"/>
                <w:color w:val="008000"/>
                <w:shd w:fill="auto" w:val="clear"/>
                <w:rtl w:val="0"/>
              </w:rPr>
              <w:t xml:space="preserve">+1 550 000,00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D.</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Pozostałe przychody i koszty operacyjne oraz finansowe (netto)</w:t>
            </w:r>
          </w:p>
        </w:tc>
        <w:tc>
          <w:tcPr>
            <w:tcBorders>
              <w:top w:color="dddddd" w:space="0" w:sz="6" w:val="single"/>
              <w:left w:color="dddddd" w:space="0" w:sz="6" w:val="single"/>
              <w:bottom w:color="dddddd" w:space="0" w:sz="6" w:val="single"/>
              <w:right w:color="dddddd"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Rule="auto"/>
              <w:jc w:val="right"/>
              <w:rPr>
                <w:rFonts w:ascii="Arial" w:cs="Arial" w:eastAsia="Arial" w:hAnsi="Arial"/>
                <w:b w:val="1"/>
                <w:bCs w:val="1"/>
              </w:rPr>
            </w:pPr>
            <w:r w:rsidDel="00000000" w:rsidR="00000000" w:rsidRPr="00000000">
              <w:rPr>
                <w:rFonts w:ascii="Arial" w:cs="Arial" w:eastAsia="Arial" w:hAnsi="Arial"/>
                <w:b w:val="1"/>
                <w:bCs w:val="1"/>
                <w:rtl w:val="0"/>
              </w:rPr>
              <w:t xml:space="preserve">+150 000,00</w:t>
            </w:r>
          </w:p>
        </w:tc>
      </w:tr>
      <w:tr>
        <w:trPr>
          <w:cantSplit w:val="0"/>
          <w:tblHeader w:val="0"/>
        </w:trPr>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E.</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50" w:before="150" w:lineRule="auto"/>
              <w:rPr>
                <w:rFonts w:ascii="Arial" w:cs="Arial" w:eastAsia="Arial" w:hAnsi="Arial"/>
                <w:b w:val="1"/>
                <w:bCs w:val="1"/>
                <w:shd w:fill="auto" w:val="clear"/>
              </w:rPr>
            </w:pPr>
            <w:r w:rsidDel="00000000" w:rsidR="00000000" w:rsidRPr="00000000">
              <w:rPr>
                <w:rFonts w:ascii="Arial" w:cs="Arial" w:eastAsia="Arial" w:hAnsi="Arial"/>
                <w:b w:val="1"/>
                <w:bCs w:val="1"/>
                <w:shd w:fill="auto" w:val="clear"/>
                <w:rtl w:val="0"/>
              </w:rPr>
              <w:t xml:space="preserve">WYNIK FINANSOWY NETTO</w:t>
            </w:r>
          </w:p>
        </w:tc>
        <w:tc>
          <w:tcPr>
            <w:tcBorders>
              <w:top w:color="dddddd" w:space="0" w:sz="6" w:val="single"/>
              <w:left w:color="dddddd" w:space="0" w:sz="6" w:val="single"/>
              <w:bottom w:color="dddddd" w:space="0" w:sz="6" w:val="single"/>
              <w:right w:color="dddddd" w:space="0" w:sz="6" w:val="single"/>
            </w:tcBorders>
            <w:shd w:fill="eaeff2" w:val="clear"/>
            <w:tcMar>
              <w:top w:w="150.0" w:type="dxa"/>
              <w:left w:w="150.0" w:type="dxa"/>
              <w:bottom w:w="150.0" w:type="dxa"/>
              <w:right w:w="15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50" w:before="150" w:lineRule="auto"/>
              <w:jc w:val="right"/>
              <w:rPr>
                <w:rFonts w:ascii="Arial" w:cs="Arial" w:eastAsia="Arial" w:hAnsi="Arial"/>
                <w:b w:val="1"/>
                <w:bCs w:val="1"/>
                <w:color w:val="008000"/>
                <w:shd w:fill="auto" w:val="clear"/>
              </w:rPr>
            </w:pPr>
            <w:r w:rsidDel="00000000" w:rsidR="00000000" w:rsidRPr="00000000">
              <w:rPr>
                <w:rFonts w:ascii="Arial" w:cs="Arial" w:eastAsia="Arial" w:hAnsi="Arial"/>
                <w:b w:val="1"/>
                <w:bCs w:val="1"/>
                <w:color w:val="008000"/>
                <w:shd w:fill="auto" w:val="clear"/>
                <w:rtl w:val="0"/>
              </w:rPr>
              <w:t xml:space="preserve">+1 700 000,00</w:t>
            </w:r>
          </w:p>
        </w:tc>
      </w:tr>
    </w:tbl>
    <w:p w:rsidR="00000000" w:rsidDel="00000000" w:rsidP="00000000" w:rsidRDefault="00000000" w:rsidRPr="00000000" w14:paraId="00000047">
      <w:pPr>
        <w:pStyle w:val="Heading2"/>
        <w:pBdr>
          <w:top w:space="0" w:sz="0" w:val="nil"/>
          <w:left w:space="0" w:sz="0" w:val="nil"/>
          <w:bottom w:space="0" w:sz="0" w:val="nil"/>
          <w:right w:space="0" w:sz="0" w:val="nil"/>
          <w:between w:space="0" w:sz="0" w:val="nil"/>
        </w:pBdr>
        <w:shd w:fill="auto" w:val="clear"/>
        <w:spacing w:before="375" w:lineRule="auto"/>
        <w:rPr>
          <w:rFonts w:ascii="Arial" w:cs="Arial" w:eastAsia="Arial" w:hAnsi="Arial"/>
          <w:color w:val="2c3e50"/>
        </w:rPr>
      </w:pPr>
      <w:r w:rsidDel="00000000" w:rsidR="00000000" w:rsidRPr="00000000">
        <w:rPr>
          <w:rFonts w:ascii="Arial" w:cs="Arial" w:eastAsia="Arial" w:hAnsi="Arial"/>
          <w:color w:val="2c3e50"/>
          <w:rtl w:val="0"/>
        </w:rPr>
        <w:t xml:space="preserve">3. ZESTAWIENIE ZMIAN W FUNDUSZU JEDNOSTKI (Podsumowanie)</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 Fundusz jednostki na początek roku (bilans otwarcia): 41 500 000,00 zł</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 Zwiększenia funduszu (m.in. z tytułu zrealizowanych inwestycji): 2 100 000,00 zł</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 Zmniejszenia funduszu (m.in. przekazane aktywa): -3 200 000,00 zł</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rtl w:val="0"/>
        </w:rPr>
        <w:t xml:space="preserve">* Wynik finansowy netto za rok 2024: +1 700 000,00 zł</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600" w:line="300" w:lineRule="auto"/>
        <w:rPr>
          <w:rFonts w:ascii="Arial" w:cs="Arial" w:eastAsia="Arial" w:hAnsi="Arial"/>
          <w:b w:val="1"/>
          <w:bCs w:val="1"/>
        </w:rPr>
      </w:pP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Fundusz jednostki na koniec roku (bilans zamknięcia): 41 500 000,00 zł</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b w:val="1"/>
          <w:bCs w:val="1"/>
          <w:rtl w:val="0"/>
        </w:rPr>
        <w:t xml:space="preserve">Główny Księgowy / Skarbnik Gminy:</w:t>
      </w:r>
      <w:r w:rsidDel="00000000" w:rsidR="00000000" w:rsidRPr="00000000">
        <w:rPr>
          <w:rFonts w:ascii="Arial" w:cs="Arial" w:eastAsia="Arial" w:hAnsi="Arial"/>
          <w:rtl w:val="0"/>
        </w:rPr>
        <w:t xml:space="preserve"> mgr Elżbieta Mazur</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300" w:lineRule="auto"/>
        <w:rPr>
          <w:rFonts w:ascii="Arial" w:cs="Arial" w:eastAsia="Arial" w:hAnsi="Arial"/>
        </w:rPr>
      </w:pPr>
      <w:r w:rsidDel="00000000" w:rsidR="00000000" w:rsidRPr="00000000">
        <w:rPr>
          <w:rFonts w:ascii="Arial" w:cs="Arial" w:eastAsia="Arial" w:hAnsi="Arial"/>
          <w:b w:val="1"/>
          <w:bCs w:val="1"/>
          <w:rtl w:val="0"/>
        </w:rPr>
        <w:t xml:space="preserve">Kierownik Jednostki / Wójt Gminy:</w:t>
      </w:r>
      <w:r w:rsidDel="00000000" w:rsidR="00000000" w:rsidRPr="00000000">
        <w:rPr>
          <w:rFonts w:ascii="Arial" w:cs="Arial" w:eastAsia="Arial" w:hAnsi="Arial"/>
          <w:rtl w:val="0"/>
        </w:rPr>
        <w:t xml:space="preserve"> mgr Jan Kowalski</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